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69" w:right="0" w:hanging="43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shd w:fill="auto" w:val="clear"/>
        <w:spacing w:after="235" w:before="513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per la fornitura di  90 sonde automatiche per acque sotterranee con teletrasmissione dati con configurazione LTC (6 sonde) e LT (84 sonde)  </w:t>
        <w:br w:type="textWrapping"/>
        <w:t xml:space="preserve">CIG 935709463D- CUP I83C22000640005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sig.________________ legale rappresentante, in promessa di R.T.I. tra loro all’interno del quale la __________________ verrà nominata Impresa mandataria-capogruppo)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capitolato 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tecnico, nello schema di contratto e negli altri atti della gara per l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’affidamento della fornitura di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90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sonde automatiche per acque sotterranee con teletrasmissione dati aventi le   configurazioni: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configurazione LTC -   6   sonde  livello, temperatura e conducibilità; configurazione LT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-   84 sonde  livello, temperatura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cui al Bando di gara inviato alla G.U.U.E. in data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_____/2022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  </w:t>
      </w:r>
      <w:r w:rsidDel="00000000" w:rsidR="00000000" w:rsidRPr="00000000">
        <w:rPr>
          <w:rtl w:val="0"/>
        </w:rPr>
      </w:r>
    </w:p>
    <w:tbl>
      <w:tblPr>
        <w:tblStyle w:val="Table1"/>
        <w:tblW w:w="9657.031410630634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2910"/>
        <w:gridCol w:w="2022.0314106306337"/>
        <w:gridCol w:w="1035"/>
        <w:gridCol w:w="3015"/>
        <w:tblGridChange w:id="0">
          <w:tblGrid>
            <w:gridCol w:w="675"/>
            <w:gridCol w:w="2910"/>
            <w:gridCol w:w="2022.0314106306337"/>
            <w:gridCol w:w="1035"/>
            <w:gridCol w:w="30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unitario offerto IVA esclusa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Quantità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complessivo  IVA esclusa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1"/>
              <w:widowControl w:val="1"/>
              <w:tabs>
                <w:tab w:val="left" w:pos="8460"/>
              </w:tabs>
              <w:ind w:right="-142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Sonde automatiche per acque sotterranee con configurazione LTC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1"/>
              <w:spacing w:after="120" w:lineRule="auto"/>
              <w:ind w:left="0" w:firstLine="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Sonde automatiche per acque sotterranee con configurazione 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1"/>
              <w:widowControl w:val="1"/>
              <w:tabs>
                <w:tab w:val="left" w:pos="8460"/>
              </w:tabs>
              <w:ind w:right="-142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Software con relativa licenza d’uso necessario per la gestione, comunicazione, trasmissione e teletrasmissione dei dati delle 6 sonde automatiche (configurazione LTC) di cui alla voce A, compreso numero 1 cavo o interfaccia per ogni tipologia di comunicazione esistente tra sonda e PC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1"/>
              <w:widowControl w:val="1"/>
              <w:tabs>
                <w:tab w:val="left" w:pos="8460"/>
              </w:tabs>
              <w:ind w:right="-142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Software con relativa licenza d’uso necessario per la gestione, comunicazione, trasmissione e teletrasmissione dei dati delle 84 sonde automatiche (Configurazione LT) di cui alla voce B, compreso numero 4 cavi o interfacce per ogni tipologia di comunicazione esistente tra sonda e PC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complessivo offerto (A + B + C + 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Base d’asta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198.935,00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Percentuale di ribasso offerta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(luogo e data)</w:t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5760" w:firstLine="72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Il Fornitore</w:t>
      </w:r>
    </w:p>
    <w:p w:rsidR="00000000" w:rsidDel="00000000" w:rsidP="00000000" w:rsidRDefault="00000000" w:rsidRPr="00000000" w14:paraId="00000040">
      <w:pPr>
        <w:ind w:left="5760" w:firstLine="720"/>
        <w:rPr>
          <w:rFonts w:ascii="Tahoma" w:cs="Tahoma" w:eastAsia="Tahoma" w:hAnsi="Tahoma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firma digitale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3" w:top="1133" w:left="1133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525.0" w:type="dxa"/>
      <w:jc w:val="left"/>
      <w:tblInd w:w="135.0" w:type="dxa"/>
      <w:tblLayout w:type="fixed"/>
      <w:tblLook w:val="0000"/>
    </w:tblPr>
    <w:tblGrid>
      <w:gridCol w:w="6840"/>
      <w:gridCol w:w="2685"/>
      <w:tblGridChange w:id="0">
        <w:tblGrid>
          <w:gridCol w:w="6840"/>
          <w:gridCol w:w="2685"/>
        </w:tblGrid>
      </w:tblGridChange>
    </w:tblGrid>
    <w:tr>
      <w:trPr>
        <w:cantSplit w:val="0"/>
        <w:trHeight w:val="52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42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 </w:t>
            <w:br w:type="textWrapping"/>
            <w:t xml:space="preserve">Lotto 2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44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 8</w:t>
          </w:r>
        </w:p>
      </w:tc>
    </w:tr>
    <w:tr>
      <w:trPr>
        <w:cantSplit w:val="0"/>
        <w:trHeight w:val="60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46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7">
    <w:pPr>
      <w:keepNext w:val="1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